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9" w:name="Xc3309de69ed63df3498253382545c91585472a1"/>
    <w:p>
      <w:pPr>
        <w:pStyle w:val="Heading1"/>
      </w:pPr>
      <w:r>
        <w:t xml:space="preserve">Frontier Oil Dynamics Q3 2024 Earnings Report</w:t>
      </w:r>
    </w:p>
    <w:bookmarkStart w:id="20" w:name="financial-highlights"/>
    <w:p>
      <w:pPr>
        <w:pStyle w:val="Heading2"/>
      </w:pPr>
      <w:r>
        <w:t xml:space="preserve">Financial Highlights</w:t>
      </w:r>
    </w:p>
    <w:p>
      <w:pPr>
        <w:pStyle w:val="Compact"/>
        <w:numPr>
          <w:ilvl w:val="0"/>
          <w:numId w:val="1001"/>
        </w:numPr>
      </w:pPr>
      <w:r>
        <w:t xml:space="preserve">Revenue: $3.5 billion</w:t>
      </w:r>
    </w:p>
    <w:p>
      <w:pPr>
        <w:pStyle w:val="Compact"/>
        <w:numPr>
          <w:ilvl w:val="0"/>
          <w:numId w:val="1001"/>
        </w:numPr>
      </w:pPr>
      <w:r>
        <w:t xml:space="preserve">Net Income: $520 million</w:t>
      </w:r>
    </w:p>
    <w:p>
      <w:pPr>
        <w:pStyle w:val="Compact"/>
        <w:numPr>
          <w:ilvl w:val="0"/>
          <w:numId w:val="1001"/>
        </w:numPr>
      </w:pPr>
      <w:r>
        <w:t xml:space="preserve">Earnings Per Share (EPS): $2.60</w:t>
      </w:r>
    </w:p>
    <w:p>
      <w:pPr>
        <w:pStyle w:val="Compact"/>
        <w:numPr>
          <w:ilvl w:val="0"/>
          <w:numId w:val="1001"/>
        </w:numPr>
      </w:pPr>
      <w:r>
        <w:t xml:space="preserve">Operating Cash Flow: $820 million</w:t>
      </w:r>
    </w:p>
    <w:bookmarkEnd w:id="20"/>
    <w:bookmarkStart w:id="21" w:name="operational-highlights"/>
    <w:p>
      <w:pPr>
        <w:pStyle w:val="Heading2"/>
      </w:pPr>
      <w:r>
        <w:t xml:space="preserve">Operational Highlights</w:t>
      </w:r>
    </w:p>
    <w:p>
      <w:pPr>
        <w:pStyle w:val="Compact"/>
        <w:numPr>
          <w:ilvl w:val="0"/>
          <w:numId w:val="1002"/>
        </w:numPr>
      </w:pPr>
      <w:r>
        <w:t xml:space="preserve">Achieved record production of 365,000 barrels of oil equivalent per day</w:t>
      </w:r>
    </w:p>
    <w:p>
      <w:pPr>
        <w:pStyle w:val="Compact"/>
        <w:numPr>
          <w:ilvl w:val="0"/>
          <w:numId w:val="1002"/>
        </w:numPr>
      </w:pPr>
      <w:r>
        <w:t xml:space="preserve">Successfully integrated the newly acquired solar power company, increasing our renewable energy output by 25%</w:t>
      </w:r>
    </w:p>
    <w:p>
      <w:pPr>
        <w:pStyle w:val="Compact"/>
        <w:numPr>
          <w:ilvl w:val="0"/>
          <w:numId w:val="1002"/>
        </w:numPr>
      </w:pPr>
      <w:r>
        <w:t xml:space="preserve">Completed a major upgrade to our West Coast refinery, improving efficiency by 10%</w:t>
      </w:r>
    </w:p>
    <w:bookmarkEnd w:id="21"/>
    <w:bookmarkStart w:id="22" w:name="ceo-statement"/>
    <w:p>
      <w:pPr>
        <w:pStyle w:val="Heading2"/>
      </w:pPr>
      <w:r>
        <w:t xml:space="preserve">CEO Statement</w:t>
      </w:r>
    </w:p>
    <w:p>
      <w:pPr>
        <w:pStyle w:val="FirstParagraph"/>
      </w:pPr>
      <w:r>
        <w:t xml:space="preserve">“The third quarter of 2024 has been exceptional for Frontier Oil Dynamics. We’ve seen strong growth across all our business segments, with particularly impressive performance in our renewable energy division. Our strategic investments in both traditional and clean energy sources are paying off, positioning us as a leader in the evolving energy landscape. We remain committed to delivering value to our shareholders while advancing our sustainability goals.”</w:t>
      </w:r>
    </w:p>
    <w:bookmarkEnd w:id="22"/>
    <w:bookmarkStart w:id="25" w:name="financial-tables"/>
    <w:p>
      <w:pPr>
        <w:pStyle w:val="Heading2"/>
      </w:pPr>
      <w:r>
        <w:t xml:space="preserve">Financial Tables</w:t>
      </w:r>
    </w:p>
    <w:bookmarkStart w:id="23" w:name="income-statement-summary-in-millions-usd"/>
    <w:p>
      <w:pPr>
        <w:pStyle w:val="Heading3"/>
      </w:pPr>
      <w:r>
        <w:t xml:space="preserve">Income Statement Summary (in millions USD)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Item</w:t>
            </w:r>
          </w:p>
        </w:tc>
        <w:tc>
          <w:tcPr/>
          <w:p>
            <w:pPr>
              <w:pStyle w:val="Compact"/>
            </w:pPr>
            <w:r>
              <w:t xml:space="preserve">Q3 2024</w:t>
            </w:r>
          </w:p>
        </w:tc>
        <w:tc>
          <w:tcPr/>
          <w:p>
            <w:pPr>
              <w:pStyle w:val="Compact"/>
            </w:pPr>
            <w:r>
              <w:t xml:space="preserve">Q3 2023</w:t>
            </w:r>
          </w:p>
        </w:tc>
        <w:tc>
          <w:tcPr/>
          <w:p>
            <w:pPr>
              <w:pStyle w:val="Compact"/>
            </w:pPr>
            <w:r>
              <w:t xml:space="preserve">% Change</w:t>
            </w:r>
          </w:p>
        </w:tc>
      </w:tr>
      <w:tr>
        <w:tc>
          <w:tcPr/>
          <w:p>
            <w:pPr>
              <w:pStyle w:val="Compact"/>
            </w:pPr>
            <w:r>
              <w:t xml:space="preserve">Revenue</w:t>
            </w:r>
          </w:p>
        </w:tc>
        <w:tc>
          <w:tcPr/>
          <w:p>
            <w:pPr>
              <w:pStyle w:val="Compact"/>
            </w:pPr>
            <w:r>
              <w:t xml:space="preserve">3,500</w:t>
            </w:r>
          </w:p>
        </w:tc>
        <w:tc>
          <w:tcPr/>
          <w:p>
            <w:pPr>
              <w:pStyle w:val="Compact"/>
            </w:pPr>
            <w:r>
              <w:t xml:space="preserve">3,000</w:t>
            </w:r>
          </w:p>
        </w:tc>
        <w:tc>
          <w:tcPr/>
          <w:p>
            <w:pPr>
              <w:pStyle w:val="Compact"/>
            </w:pPr>
            <w:r>
              <w:t xml:space="preserve">+16.7%</w:t>
            </w:r>
          </w:p>
        </w:tc>
      </w:tr>
      <w:tr>
        <w:tc>
          <w:tcPr/>
          <w:p>
            <w:pPr>
              <w:pStyle w:val="Compact"/>
            </w:pPr>
            <w:r>
              <w:t xml:space="preserve">Operating Expenses</w:t>
            </w:r>
          </w:p>
        </w:tc>
        <w:tc>
          <w:tcPr/>
          <w:p>
            <w:pPr>
              <w:pStyle w:val="Compact"/>
            </w:pPr>
            <w:r>
              <w:t xml:space="preserve">2,700</w:t>
            </w:r>
          </w:p>
        </w:tc>
        <w:tc>
          <w:tcPr/>
          <w:p>
            <w:pPr>
              <w:pStyle w:val="Compact"/>
            </w:pPr>
            <w:r>
              <w:t xml:space="preserve">2,400</w:t>
            </w:r>
          </w:p>
        </w:tc>
        <w:tc>
          <w:tcPr/>
          <w:p>
            <w:pPr>
              <w:pStyle w:val="Compact"/>
            </w:pPr>
            <w:r>
              <w:t xml:space="preserve">+12.5%</w:t>
            </w:r>
          </w:p>
        </w:tc>
      </w:tr>
      <w:tr>
        <w:tc>
          <w:tcPr/>
          <w:p>
            <w:pPr>
              <w:pStyle w:val="Compact"/>
            </w:pPr>
            <w:r>
              <w:t xml:space="preserve">Operating Income</w:t>
            </w:r>
          </w:p>
        </w:tc>
        <w:tc>
          <w:tcPr/>
          <w:p>
            <w:pPr>
              <w:pStyle w:val="Compact"/>
            </w:pPr>
            <w:r>
              <w:t xml:space="preserve">800</w:t>
            </w:r>
          </w:p>
        </w:tc>
        <w:tc>
          <w:tcPr/>
          <w:p>
            <w:pPr>
              <w:pStyle w:val="Compact"/>
            </w:pPr>
            <w:r>
              <w:t xml:space="preserve">600</w:t>
            </w:r>
          </w:p>
        </w:tc>
        <w:tc>
          <w:tcPr/>
          <w:p>
            <w:pPr>
              <w:pStyle w:val="Compact"/>
            </w:pPr>
            <w:r>
              <w:t xml:space="preserve">+33.3%</w:t>
            </w:r>
          </w:p>
        </w:tc>
      </w:tr>
      <w:tr>
        <w:tc>
          <w:tcPr/>
          <w:p>
            <w:pPr>
              <w:pStyle w:val="Compact"/>
            </w:pPr>
            <w:r>
              <w:t xml:space="preserve">Net Income</w:t>
            </w:r>
          </w:p>
        </w:tc>
        <w:tc>
          <w:tcPr/>
          <w:p>
            <w:pPr>
              <w:pStyle w:val="Compact"/>
            </w:pPr>
            <w:r>
              <w:t xml:space="preserve">520</w:t>
            </w:r>
          </w:p>
        </w:tc>
        <w:tc>
          <w:tcPr/>
          <w:p>
            <w:pPr>
              <w:pStyle w:val="Compact"/>
            </w:pPr>
            <w:r>
              <w:t xml:space="preserve">400</w:t>
            </w:r>
          </w:p>
        </w:tc>
        <w:tc>
          <w:tcPr/>
          <w:p>
            <w:pPr>
              <w:pStyle w:val="Compact"/>
            </w:pPr>
            <w:r>
              <w:t xml:space="preserve">+30.0%</w:t>
            </w:r>
          </w:p>
        </w:tc>
      </w:tr>
    </w:tbl>
    <w:bookmarkEnd w:id="23"/>
    <w:bookmarkStart w:id="24" w:name="balance-sheet-summary-in-millions-usd"/>
    <w:p>
      <w:pPr>
        <w:pStyle w:val="Heading3"/>
      </w:pPr>
      <w:r>
        <w:t xml:space="preserve">Balance Sheet Summary (in millions USD)</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Item</w:t>
            </w:r>
          </w:p>
        </w:tc>
        <w:tc>
          <w:tcPr/>
          <w:p>
            <w:pPr>
              <w:pStyle w:val="Compact"/>
            </w:pPr>
            <w:r>
              <w:t xml:space="preserve">Sept 30, 2024</w:t>
            </w:r>
          </w:p>
        </w:tc>
        <w:tc>
          <w:tcPr/>
          <w:p>
            <w:pPr>
              <w:pStyle w:val="Compact"/>
            </w:pPr>
            <w:r>
              <w:t xml:space="preserve">Dec 31, 2023</w:t>
            </w:r>
          </w:p>
        </w:tc>
      </w:tr>
      <w:tr>
        <w:tc>
          <w:tcPr/>
          <w:p>
            <w:pPr>
              <w:pStyle w:val="Compact"/>
            </w:pPr>
            <w:r>
              <w:t xml:space="preserve">Total Assets</w:t>
            </w:r>
          </w:p>
        </w:tc>
        <w:tc>
          <w:tcPr/>
          <w:p>
            <w:pPr>
              <w:pStyle w:val="Compact"/>
            </w:pPr>
            <w:r>
              <w:t xml:space="preserve">26,000</w:t>
            </w:r>
          </w:p>
        </w:tc>
        <w:tc>
          <w:tcPr/>
          <w:p>
            <w:pPr>
              <w:pStyle w:val="Compact"/>
            </w:pPr>
            <w:r>
              <w:t xml:space="preserve">23,500</w:t>
            </w:r>
          </w:p>
        </w:tc>
      </w:tr>
      <w:tr>
        <w:tc>
          <w:tcPr/>
          <w:p>
            <w:pPr>
              <w:pStyle w:val="Compact"/>
            </w:pPr>
            <w:r>
              <w:t xml:space="preserve">Total Liabilities</w:t>
            </w:r>
          </w:p>
        </w:tc>
        <w:tc>
          <w:tcPr/>
          <w:p>
            <w:pPr>
              <w:pStyle w:val="Compact"/>
            </w:pPr>
            <w:r>
              <w:t xml:space="preserve">15,500</w:t>
            </w:r>
          </w:p>
        </w:tc>
        <w:tc>
          <w:tcPr/>
          <w:p>
            <w:pPr>
              <w:pStyle w:val="Compact"/>
            </w:pPr>
            <w:r>
              <w:t xml:space="preserve">14,500</w:t>
            </w:r>
          </w:p>
        </w:tc>
      </w:tr>
      <w:tr>
        <w:tc>
          <w:tcPr/>
          <w:p>
            <w:pPr>
              <w:pStyle w:val="Compact"/>
            </w:pPr>
            <w:r>
              <w:t xml:space="preserve">Shareholders’ Equity</w:t>
            </w:r>
          </w:p>
        </w:tc>
        <w:tc>
          <w:tcPr/>
          <w:p>
            <w:pPr>
              <w:pStyle w:val="Compact"/>
            </w:pPr>
            <w:r>
              <w:t xml:space="preserve">10,500</w:t>
            </w:r>
          </w:p>
        </w:tc>
        <w:tc>
          <w:tcPr/>
          <w:p>
            <w:pPr>
              <w:pStyle w:val="Compact"/>
            </w:pPr>
            <w:r>
              <w:t xml:space="preserve">9,000</w:t>
            </w:r>
          </w:p>
        </w:tc>
      </w:tr>
    </w:tbl>
    <w:bookmarkEnd w:id="24"/>
    <w:bookmarkEnd w:id="25"/>
    <w:bookmarkStart w:id="26" w:name="outlook"/>
    <w:p>
      <w:pPr>
        <w:pStyle w:val="Heading2"/>
      </w:pPr>
      <w:r>
        <w:t xml:space="preserve">Outlook</w:t>
      </w:r>
    </w:p>
    <w:p>
      <w:pPr>
        <w:pStyle w:val="FirstParagraph"/>
      </w:pPr>
      <w:r>
        <w:t xml:space="preserve">As we move into the final quarter of 2024, we are optimistic about our continued growth and performance:</w:t>
      </w:r>
      <w:r>
        <w:t xml:space="preserve"> </w:t>
      </w:r>
      <w:r>
        <w:t xml:space="preserve">- We expect our production to remain strong, supported by the full integration of our new offshore platforms</w:t>
      </w:r>
      <w:r>
        <w:t xml:space="preserve"> </w:t>
      </w:r>
      <w:r>
        <w:t xml:space="preserve">- The upgraded West Coast refinery is projected to contribute significantly to our Q4 earnings</w:t>
      </w:r>
      <w:r>
        <w:t xml:space="preserve"> </w:t>
      </w:r>
      <w:r>
        <w:t xml:space="preserve">- Our renewable energy segment is poised for further expansion, with several new projects coming online in Q4</w:t>
      </w:r>
    </w:p>
    <w:bookmarkEnd w:id="26"/>
    <w:bookmarkStart w:id="27" w:name="sustainability-progress"/>
    <w:p>
      <w:pPr>
        <w:pStyle w:val="Heading2"/>
      </w:pPr>
      <w:r>
        <w:t xml:space="preserve">Sustainability Progress</w:t>
      </w:r>
    </w:p>
    <w:p>
      <w:pPr>
        <w:pStyle w:val="FirstParagraph"/>
      </w:pPr>
      <w:r>
        <w:t xml:space="preserve">We’re pleased to report significant progress on our sustainability initiatives:</w:t>
      </w:r>
      <w:r>
        <w:t xml:space="preserve"> </w:t>
      </w:r>
      <w:r>
        <w:t xml:space="preserve">- Reduced our carbon emissions by 18% compared to the same period last year</w:t>
      </w:r>
      <w:r>
        <w:t xml:space="preserve"> </w:t>
      </w:r>
      <w:r>
        <w:t xml:space="preserve">- On track to meet our goal of 20% renewable energy production by the end of 2024</w:t>
      </w:r>
      <w:r>
        <w:t xml:space="preserve"> </w:t>
      </w:r>
      <w:r>
        <w:t xml:space="preserve">- Invested $100 million in carbon capture and storage technologies</w:t>
      </w:r>
    </w:p>
    <w:bookmarkEnd w:id="27"/>
    <w:bookmarkStart w:id="28" w:name="investor-contact"/>
    <w:p>
      <w:pPr>
        <w:pStyle w:val="Heading2"/>
      </w:pPr>
      <w:r>
        <w:t xml:space="preserve">Investor Contact</w:t>
      </w:r>
    </w:p>
    <w:p>
      <w:pPr>
        <w:pStyle w:val="FirstParagraph"/>
      </w:pPr>
      <w:r>
        <w:t xml:space="preserve">For more information, please contact:</w:t>
      </w:r>
      <w:r>
        <w:t xml:space="preserve"> </w:t>
      </w:r>
      <w:r>
        <w:t xml:space="preserve">Sarah Johnson, Investor Relations</w:t>
      </w:r>
      <w:r>
        <w:t xml:space="preserve"> </w:t>
      </w:r>
      <w:r>
        <w:t xml:space="preserve">Email: sarah.johnson@frontieroil.com</w:t>
      </w:r>
      <w:r>
        <w:t xml:space="preserve"> </w:t>
      </w:r>
      <w:r>
        <w:t xml:space="preserve">Phone: (555) 123-4567</w:t>
      </w:r>
    </w:p>
    <w:p>
      <w:r>
        <w:pict>
          <v:rect style="width:0;height:1.5pt" o:hralign="center" o:hrstd="t" o:hr="t"/>
        </w:pict>
      </w:r>
    </w:p>
    <w:p>
      <w:pPr>
        <w:pStyle w:val="FirstParagraph"/>
      </w:pPr>
      <w:r>
        <w:t xml:space="preserve">This report contains forward-looking statements that involve risks and uncertainties. Actual results may differ materially from those stated in any forward-looking statement based on a number of important factors and risks.</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2024-10-24T12:55:20Z</dcterms:created>
  <dcterms:modified xsi:type="dcterms:W3CDTF">2024-10-24T12:55:20Z</dcterms:modified>
</cp:coreProperties>
</file>

<file path=docProps/custom.xml><?xml version="1.0" encoding="utf-8"?>
<Properties xmlns="http://schemas.openxmlformats.org/officeDocument/2006/custom-properties" xmlns:vt="http://schemas.openxmlformats.org/officeDocument/2006/docPropsVTypes"/>
</file>