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8" w:name="Xa4f74300c492327835e240239650188b81c9093"/>
    <w:p>
      <w:pPr>
        <w:pStyle w:val="Heading1"/>
      </w:pPr>
      <w:r>
        <w:t xml:space="preserve">Frontier Oil Dynamics Q1 2024 Earnings Report</w:t>
      </w:r>
    </w:p>
    <w:bookmarkStart w:id="20" w:name="financial-highlights"/>
    <w:p>
      <w:pPr>
        <w:pStyle w:val="Heading2"/>
      </w:pPr>
      <w:r>
        <w:t xml:space="preserve">Financial Highlights</w:t>
      </w:r>
    </w:p>
    <w:p>
      <w:pPr>
        <w:pStyle w:val="Compact"/>
        <w:numPr>
          <w:ilvl w:val="0"/>
          <w:numId w:val="1001"/>
        </w:numPr>
      </w:pPr>
      <w:r>
        <w:t xml:space="preserve">Revenue: $2.9 billion</w:t>
      </w:r>
    </w:p>
    <w:p>
      <w:pPr>
        <w:pStyle w:val="Compact"/>
        <w:numPr>
          <w:ilvl w:val="0"/>
          <w:numId w:val="1001"/>
        </w:numPr>
      </w:pPr>
      <w:r>
        <w:t xml:space="preserve">Net Income: $400 million</w:t>
      </w:r>
    </w:p>
    <w:p>
      <w:pPr>
        <w:pStyle w:val="Compact"/>
        <w:numPr>
          <w:ilvl w:val="0"/>
          <w:numId w:val="1001"/>
        </w:numPr>
      </w:pPr>
      <w:r>
        <w:t xml:space="preserve">Earnings Per Share (EPS): $2.00</w:t>
      </w:r>
    </w:p>
    <w:p>
      <w:pPr>
        <w:pStyle w:val="Compact"/>
        <w:numPr>
          <w:ilvl w:val="0"/>
          <w:numId w:val="1001"/>
        </w:numPr>
      </w:pPr>
      <w:r>
        <w:t xml:space="preserve">Operating Cash Flow: $680 million</w:t>
      </w:r>
    </w:p>
    <w:bookmarkEnd w:id="20"/>
    <w:bookmarkStart w:id="21" w:name="operational-highlights"/>
    <w:p>
      <w:pPr>
        <w:pStyle w:val="Heading2"/>
      </w:pPr>
      <w:r>
        <w:t xml:space="preserve">Operational Highlights</w:t>
      </w:r>
    </w:p>
    <w:p>
      <w:pPr>
        <w:pStyle w:val="Compact"/>
        <w:numPr>
          <w:ilvl w:val="0"/>
          <w:numId w:val="1002"/>
        </w:numPr>
      </w:pPr>
      <w:r>
        <w:t xml:space="preserve">Achieved production of 330,000 barrels of oil equivalent per day</w:t>
      </w:r>
    </w:p>
    <w:p>
      <w:pPr>
        <w:pStyle w:val="Compact"/>
        <w:numPr>
          <w:ilvl w:val="0"/>
          <w:numId w:val="1002"/>
        </w:numPr>
      </w:pPr>
      <w:r>
        <w:t xml:space="preserve">Commenced operations at our new offshore platform in the Gulf of Mexico</w:t>
      </w:r>
    </w:p>
    <w:p>
      <w:pPr>
        <w:pStyle w:val="Compact"/>
        <w:numPr>
          <w:ilvl w:val="0"/>
          <w:numId w:val="1002"/>
        </w:numPr>
      </w:pPr>
      <w:r>
        <w:t xml:space="preserve">Acquired a solar power company to accelerate our renewable energy growth</w:t>
      </w:r>
    </w:p>
    <w:bookmarkEnd w:id="21"/>
    <w:bookmarkStart w:id="22" w:name="ceo-statement"/>
    <w:p>
      <w:pPr>
        <w:pStyle w:val="Heading2"/>
      </w:pPr>
      <w:r>
        <w:t xml:space="preserve">CEO Statement</w:t>
      </w:r>
    </w:p>
    <w:p>
      <w:pPr>
        <w:pStyle w:val="FirstParagraph"/>
      </w:pPr>
      <w:r>
        <w:t xml:space="preserve">“Q1 2024 marked a strong start to the year for Frontier Oil Dynamics. We saw robust demand for our products and services, while making significant progress on our strategic initiatives. Our commitment to balancing traditional energy production with investments in renewable sources positions us well for the future.”</w:t>
      </w:r>
    </w:p>
    <w:bookmarkEnd w:id="22"/>
    <w:bookmarkStart w:id="25" w:name="financial-tables"/>
    <w:p>
      <w:pPr>
        <w:pStyle w:val="Heading2"/>
      </w:pPr>
      <w:r>
        <w:t xml:space="preserve">Financial Tables</w:t>
      </w:r>
    </w:p>
    <w:bookmarkStart w:id="23" w:name="income-statement-summary-in-millions-usd"/>
    <w:p>
      <w:pPr>
        <w:pStyle w:val="Heading3"/>
      </w:pPr>
      <w:r>
        <w:t xml:space="preserve">Income Statement Summary (in millions USD)</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Item</w:t>
            </w:r>
          </w:p>
        </w:tc>
        <w:tc>
          <w:tcPr/>
          <w:p>
            <w:pPr>
              <w:pStyle w:val="Compact"/>
            </w:pPr>
            <w:r>
              <w:t xml:space="preserve">Q1 2024</w:t>
            </w:r>
          </w:p>
        </w:tc>
        <w:tc>
          <w:tcPr/>
          <w:p>
            <w:pPr>
              <w:pStyle w:val="Compact"/>
            </w:pPr>
            <w:r>
              <w:t xml:space="preserve">Q1 2023</w:t>
            </w:r>
          </w:p>
        </w:tc>
        <w:tc>
          <w:tcPr/>
          <w:p>
            <w:pPr>
              <w:pStyle w:val="Compact"/>
            </w:pPr>
            <w:r>
              <w:t xml:space="preserve">% Change</w:t>
            </w:r>
          </w:p>
        </w:tc>
      </w:tr>
      <w:tr>
        <w:tc>
          <w:tcPr/>
          <w:p>
            <w:pPr>
              <w:pStyle w:val="Compact"/>
            </w:pPr>
            <w:r>
              <w:t xml:space="preserve">Revenue</w:t>
            </w:r>
          </w:p>
        </w:tc>
        <w:tc>
          <w:tcPr/>
          <w:p>
            <w:pPr>
              <w:pStyle w:val="Compact"/>
            </w:pPr>
            <w:r>
              <w:t xml:space="preserve">2,900</w:t>
            </w:r>
          </w:p>
        </w:tc>
        <w:tc>
          <w:tcPr/>
          <w:p>
            <w:pPr>
              <w:pStyle w:val="Compact"/>
            </w:pPr>
            <w:r>
              <w:t xml:space="preserve">2,600</w:t>
            </w:r>
          </w:p>
        </w:tc>
        <w:tc>
          <w:tcPr/>
          <w:p>
            <w:pPr>
              <w:pStyle w:val="Compact"/>
            </w:pPr>
            <w:r>
              <w:t xml:space="preserve">+11.5%</w:t>
            </w:r>
          </w:p>
        </w:tc>
      </w:tr>
      <w:tr>
        <w:tc>
          <w:tcPr/>
          <w:p>
            <w:pPr>
              <w:pStyle w:val="Compact"/>
            </w:pPr>
            <w:r>
              <w:t xml:space="preserve">Operating Expenses</w:t>
            </w:r>
          </w:p>
        </w:tc>
        <w:tc>
          <w:tcPr/>
          <w:p>
            <w:pPr>
              <w:pStyle w:val="Compact"/>
            </w:pPr>
            <w:r>
              <w:t xml:space="preserve">2,300</w:t>
            </w:r>
          </w:p>
        </w:tc>
        <w:tc>
          <w:tcPr/>
          <w:p>
            <w:pPr>
              <w:pStyle w:val="Compact"/>
            </w:pPr>
            <w:r>
              <w:t xml:space="preserve">2,100</w:t>
            </w:r>
          </w:p>
        </w:tc>
        <w:tc>
          <w:tcPr/>
          <w:p>
            <w:pPr>
              <w:pStyle w:val="Compact"/>
            </w:pPr>
            <w:r>
              <w:t xml:space="preserve">+9.5%</w:t>
            </w:r>
          </w:p>
        </w:tc>
      </w:tr>
      <w:tr>
        <w:tc>
          <w:tcPr/>
          <w:p>
            <w:pPr>
              <w:pStyle w:val="Compact"/>
            </w:pPr>
            <w:r>
              <w:t xml:space="preserve">Operating Income</w:t>
            </w:r>
          </w:p>
        </w:tc>
        <w:tc>
          <w:tcPr/>
          <w:p>
            <w:pPr>
              <w:pStyle w:val="Compact"/>
            </w:pPr>
            <w:r>
              <w:t xml:space="preserve">600</w:t>
            </w:r>
          </w:p>
        </w:tc>
        <w:tc>
          <w:tcPr/>
          <w:p>
            <w:pPr>
              <w:pStyle w:val="Compact"/>
            </w:pPr>
            <w:r>
              <w:t xml:space="preserve">500</w:t>
            </w:r>
          </w:p>
        </w:tc>
        <w:tc>
          <w:tcPr/>
          <w:p>
            <w:pPr>
              <w:pStyle w:val="Compact"/>
            </w:pPr>
            <w:r>
              <w:t xml:space="preserve">+20.0%</w:t>
            </w:r>
          </w:p>
        </w:tc>
      </w:tr>
      <w:tr>
        <w:tc>
          <w:tcPr/>
          <w:p>
            <w:pPr>
              <w:pStyle w:val="Compact"/>
            </w:pPr>
            <w:r>
              <w:t xml:space="preserve">Net Income</w:t>
            </w:r>
          </w:p>
        </w:tc>
        <w:tc>
          <w:tcPr/>
          <w:p>
            <w:pPr>
              <w:pStyle w:val="Compact"/>
            </w:pPr>
            <w:r>
              <w:t xml:space="preserve">400</w:t>
            </w:r>
          </w:p>
        </w:tc>
        <w:tc>
          <w:tcPr/>
          <w:p>
            <w:pPr>
              <w:pStyle w:val="Compact"/>
            </w:pPr>
            <w:r>
              <w:t xml:space="preserve">350</w:t>
            </w:r>
          </w:p>
        </w:tc>
        <w:tc>
          <w:tcPr/>
          <w:p>
            <w:pPr>
              <w:pStyle w:val="Compact"/>
            </w:pPr>
            <w:r>
              <w:t xml:space="preserve">+14.3%</w:t>
            </w:r>
          </w:p>
        </w:tc>
      </w:tr>
    </w:tbl>
    <w:bookmarkEnd w:id="23"/>
    <w:bookmarkStart w:id="24" w:name="balance-sheet-summary-in-millions-usd"/>
    <w:p>
      <w:pPr>
        <w:pStyle w:val="Heading3"/>
      </w:pPr>
      <w:r>
        <w:t xml:space="preserve">Balance Sheet Summary (in millions USD)</w:t>
      </w:r>
    </w:p>
    <w:tbl>
      <w:tblPr>
        <w:tblStyle w:val="Table"/>
        <w:tblW w:type="auto" w:w="0"/>
        <w:tblLook w:firstRow="1" w:lastRow="0" w:firstColumn="0" w:lastColumn="0" w:noHBand="0" w:noVBand="0" w:val="0020"/>
      </w:tblPr>
      <w:tblGrid>
        <w:gridCol w:w="2640"/>
        <w:gridCol w:w="2640"/>
        <w:gridCol w:w="2640"/>
      </w:tblGrid>
      <w:tr>
        <w:trPr>
          <w:tblHeader w:val="on"/>
        </w:trPr>
        <w:tc>
          <w:tcPr/>
          <w:p>
            <w:pPr>
              <w:pStyle w:val="Compact"/>
            </w:pPr>
            <w:r>
              <w:t xml:space="preserve">Item</w:t>
            </w:r>
          </w:p>
        </w:tc>
        <w:tc>
          <w:tcPr/>
          <w:p>
            <w:pPr>
              <w:pStyle w:val="Compact"/>
            </w:pPr>
            <w:r>
              <w:t xml:space="preserve">March 31, 2024</w:t>
            </w:r>
          </w:p>
        </w:tc>
        <w:tc>
          <w:tcPr/>
          <w:p>
            <w:pPr>
              <w:pStyle w:val="Compact"/>
            </w:pPr>
            <w:r>
              <w:t xml:space="preserve">Dec 31, 2023</w:t>
            </w:r>
          </w:p>
        </w:tc>
      </w:tr>
      <w:tr>
        <w:tc>
          <w:tcPr/>
          <w:p>
            <w:pPr>
              <w:pStyle w:val="Compact"/>
            </w:pPr>
            <w:r>
              <w:t xml:space="preserve">Total Assets</w:t>
            </w:r>
          </w:p>
        </w:tc>
        <w:tc>
          <w:tcPr/>
          <w:p>
            <w:pPr>
              <w:pStyle w:val="Compact"/>
            </w:pPr>
            <w:r>
              <w:t xml:space="preserve">24,500</w:t>
            </w:r>
          </w:p>
        </w:tc>
        <w:tc>
          <w:tcPr/>
          <w:p>
            <w:pPr>
              <w:pStyle w:val="Compact"/>
            </w:pPr>
            <w:r>
              <w:t xml:space="preserve">23,500</w:t>
            </w:r>
          </w:p>
        </w:tc>
      </w:tr>
      <w:tr>
        <w:tc>
          <w:tcPr/>
          <w:p>
            <w:pPr>
              <w:pStyle w:val="Compact"/>
            </w:pPr>
            <w:r>
              <w:t xml:space="preserve">Total Liabilities</w:t>
            </w:r>
          </w:p>
        </w:tc>
        <w:tc>
          <w:tcPr/>
          <w:p>
            <w:pPr>
              <w:pStyle w:val="Compact"/>
            </w:pPr>
            <w:r>
              <w:t xml:space="preserve">14,800</w:t>
            </w:r>
          </w:p>
        </w:tc>
        <w:tc>
          <w:tcPr/>
          <w:p>
            <w:pPr>
              <w:pStyle w:val="Compact"/>
            </w:pPr>
            <w:r>
              <w:t xml:space="preserve">14,500</w:t>
            </w:r>
          </w:p>
        </w:tc>
      </w:tr>
      <w:tr>
        <w:tc>
          <w:tcPr/>
          <w:p>
            <w:pPr>
              <w:pStyle w:val="Compact"/>
            </w:pPr>
            <w:r>
              <w:t xml:space="preserve">Shareholders’ Equity</w:t>
            </w:r>
          </w:p>
        </w:tc>
        <w:tc>
          <w:tcPr/>
          <w:p>
            <w:pPr>
              <w:pStyle w:val="Compact"/>
            </w:pPr>
            <w:r>
              <w:t xml:space="preserve">9,700</w:t>
            </w:r>
          </w:p>
        </w:tc>
        <w:tc>
          <w:tcPr/>
          <w:p>
            <w:pPr>
              <w:pStyle w:val="Compact"/>
            </w:pPr>
            <w:r>
              <w:t xml:space="preserve">9,000</w:t>
            </w:r>
          </w:p>
        </w:tc>
      </w:tr>
    </w:tbl>
    <w:bookmarkEnd w:id="24"/>
    <w:bookmarkEnd w:id="25"/>
    <w:bookmarkStart w:id="26" w:name="outlook"/>
    <w:p>
      <w:pPr>
        <w:pStyle w:val="Heading2"/>
      </w:pPr>
      <w:r>
        <w:t xml:space="preserve">Outlook</w:t>
      </w:r>
    </w:p>
    <w:p>
      <w:pPr>
        <w:pStyle w:val="FirstParagraph"/>
      </w:pPr>
      <w:r>
        <w:t xml:space="preserve">Looking ahead to the rest of 2024, we anticipate:</w:t>
      </w:r>
      <w:r>
        <w:t xml:space="preserve"> </w:t>
      </w:r>
      <w:r>
        <w:t xml:space="preserve">- Increased production as our new offshore platform ramps up</w:t>
      </w:r>
      <w:r>
        <w:t xml:space="preserve"> </w:t>
      </w:r>
      <w:r>
        <w:t xml:space="preserve">- Improved margins from our refining operations</w:t>
      </w:r>
      <w:r>
        <w:t xml:space="preserve"> </w:t>
      </w:r>
      <w:r>
        <w:t xml:space="preserve">- Continued growth in our renewable energy segment</w:t>
      </w:r>
    </w:p>
    <w:bookmarkEnd w:id="26"/>
    <w:bookmarkStart w:id="27" w:name="investor-contact"/>
    <w:p>
      <w:pPr>
        <w:pStyle w:val="Heading2"/>
      </w:pPr>
      <w:r>
        <w:t xml:space="preserve">Investor Contact</w:t>
      </w:r>
    </w:p>
    <w:p>
      <w:pPr>
        <w:pStyle w:val="FirstParagraph"/>
      </w:pPr>
      <w:r>
        <w:t xml:space="preserve">For more information, please contact:</w:t>
      </w:r>
      <w:r>
        <w:t xml:space="preserve"> </w:t>
      </w:r>
      <w:r>
        <w:t xml:space="preserve">Sarah Johnson, Investor Relations</w:t>
      </w:r>
      <w:r>
        <w:t xml:space="preserve"> </w:t>
      </w:r>
      <w:r>
        <w:t xml:space="preserve">Email: sarah.johnson@frontieroil.com</w:t>
      </w:r>
      <w:r>
        <w:t xml:space="preserve"> </w:t>
      </w:r>
      <w:r>
        <w:t xml:space="preserve">Phone: (555) 123-4567</w:t>
      </w:r>
    </w:p>
    <w:p>
      <w:r>
        <w:pict>
          <v:rect style="width:0;height:1.5pt" o:hralign="center" o:hrstd="t" o:hr="t"/>
        </w:pict>
      </w:r>
    </w:p>
    <w:p>
      <w:pPr>
        <w:pStyle w:val="FirstParagraph"/>
      </w:pPr>
      <w:r>
        <w:t xml:space="preserve">This report contains forward-looking statements that involve risks and uncertainties. Actual results may differ materially from those stated in any forward-looking statement based on a number of important factors and risks.</w:t>
      </w:r>
    </w:p>
    <w:bookmarkEnd w:id="27"/>
    <w:bookmarkEnd w:id="28"/>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 w:numId="100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2024-10-24T12:55:32Z</dcterms:created>
  <dcterms:modified xsi:type="dcterms:W3CDTF">2024-10-24T12:55:32Z</dcterms:modified>
</cp:coreProperties>
</file>

<file path=docProps/custom.xml><?xml version="1.0" encoding="utf-8"?>
<Properties xmlns="http://schemas.openxmlformats.org/officeDocument/2006/custom-properties" xmlns:vt="http://schemas.openxmlformats.org/officeDocument/2006/docPropsVTypes"/>
</file>