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0" w:name="frontier-oil-dynamics-2023-annual-report"/>
    <w:p>
      <w:pPr>
        <w:pStyle w:val="Heading1"/>
      </w:pPr>
      <w:r>
        <w:t xml:space="preserve">Frontier Oil Dynamics 2023 Annual Report</w:t>
      </w:r>
    </w:p>
    <w:bookmarkStart w:id="20" w:name="letter-from-the-ceo"/>
    <w:p>
      <w:pPr>
        <w:pStyle w:val="Heading2"/>
      </w:pPr>
      <w:r>
        <w:t xml:space="preserve">Letter from the CEO</w:t>
      </w:r>
    </w:p>
    <w:p>
      <w:pPr>
        <w:pStyle w:val="FirstParagraph"/>
      </w:pPr>
      <w:r>
        <w:t xml:space="preserve">Dear Shareholders,</w:t>
      </w:r>
    </w:p>
    <w:p>
      <w:pPr>
        <w:pStyle w:val="BodyText"/>
      </w:pPr>
      <w:r>
        <w:t xml:space="preserve">2023 was a transformative year for Frontier Oil Dynamics. We delivered strong financial results while making significant strides in our strategic initiatives, particularly in sustainability and renewable energy. Our commitment to responsible energy production and environmental stewardship has never been stronger, and we believe this positions us well for long-term success in a changing energy landscape.</w:t>
      </w:r>
    </w:p>
    <w:bookmarkEnd w:id="20"/>
    <w:bookmarkStart w:id="21" w:name="financial-highlights"/>
    <w:p>
      <w:pPr>
        <w:pStyle w:val="Heading2"/>
      </w:pPr>
      <w:r>
        <w:t xml:space="preserve">Financial Highlights</w:t>
      </w:r>
    </w:p>
    <w:p>
      <w:pPr>
        <w:pStyle w:val="Compact"/>
        <w:numPr>
          <w:ilvl w:val="0"/>
          <w:numId w:val="1001"/>
        </w:numPr>
      </w:pPr>
      <w:r>
        <w:t xml:space="preserve">Revenue: $11.5 billion (up 15% from 2022)</w:t>
      </w:r>
    </w:p>
    <w:p>
      <w:pPr>
        <w:pStyle w:val="Compact"/>
        <w:numPr>
          <w:ilvl w:val="0"/>
          <w:numId w:val="1001"/>
        </w:numPr>
      </w:pPr>
      <w:r>
        <w:t xml:space="preserve">Net Income: $1.6 billion (up 25% from 2022)</w:t>
      </w:r>
    </w:p>
    <w:p>
      <w:pPr>
        <w:pStyle w:val="Compact"/>
        <w:numPr>
          <w:ilvl w:val="0"/>
          <w:numId w:val="1001"/>
        </w:numPr>
      </w:pPr>
      <w:r>
        <w:t xml:space="preserve">Earnings Per Share (EPS): $8.00 (up from $6.40 in 2022)</w:t>
      </w:r>
    </w:p>
    <w:p>
      <w:pPr>
        <w:pStyle w:val="Compact"/>
        <w:numPr>
          <w:ilvl w:val="0"/>
          <w:numId w:val="1001"/>
        </w:numPr>
      </w:pPr>
      <w:r>
        <w:t xml:space="preserve">Operating Cash Flow: $2.8 billion</w:t>
      </w:r>
    </w:p>
    <w:p>
      <w:pPr>
        <w:pStyle w:val="Compact"/>
        <w:numPr>
          <w:ilvl w:val="0"/>
          <w:numId w:val="1001"/>
        </w:numPr>
      </w:pPr>
      <w:r>
        <w:t xml:space="preserve">Capital Expenditure: $2.2 billion</w:t>
      </w:r>
    </w:p>
    <w:bookmarkEnd w:id="21"/>
    <w:bookmarkStart w:id="22" w:name="operational-highlights"/>
    <w:p>
      <w:pPr>
        <w:pStyle w:val="Heading2"/>
      </w:pPr>
      <w:r>
        <w:t xml:space="preserve">Operational Highlights</w:t>
      </w:r>
    </w:p>
    <w:p>
      <w:pPr>
        <w:pStyle w:val="Compact"/>
        <w:numPr>
          <w:ilvl w:val="0"/>
          <w:numId w:val="1002"/>
        </w:numPr>
      </w:pPr>
      <w:r>
        <w:t xml:space="preserve">Achieved record production of 340,000 barrels of oil equivalent per day</w:t>
      </w:r>
    </w:p>
    <w:p>
      <w:pPr>
        <w:pStyle w:val="Compact"/>
        <w:numPr>
          <w:ilvl w:val="0"/>
          <w:numId w:val="1002"/>
        </w:numPr>
      </w:pPr>
      <w:r>
        <w:t xml:space="preserve">Completed two major offshore projects ahead of schedule and under budget</w:t>
      </w:r>
    </w:p>
    <w:p>
      <w:pPr>
        <w:pStyle w:val="Compact"/>
        <w:numPr>
          <w:ilvl w:val="0"/>
          <w:numId w:val="1002"/>
        </w:numPr>
      </w:pPr>
      <w:r>
        <w:t xml:space="preserve">Expanded our renewable energy portfolio, now accounting for 10% of our total energy production</w:t>
      </w:r>
    </w:p>
    <w:p>
      <w:pPr>
        <w:pStyle w:val="Compact"/>
        <w:numPr>
          <w:ilvl w:val="0"/>
          <w:numId w:val="1002"/>
        </w:numPr>
      </w:pPr>
      <w:r>
        <w:t xml:space="preserve">Reduced our carbon intensity by 15% compared to 2022</w:t>
      </w:r>
    </w:p>
    <w:p>
      <w:pPr>
        <w:pStyle w:val="Compact"/>
        <w:numPr>
          <w:ilvl w:val="0"/>
          <w:numId w:val="1002"/>
        </w:numPr>
      </w:pPr>
      <w:r>
        <w:t xml:space="preserve">Achieved a Total Recordable Incident Rate (TRIR) of 0.3, our best safety performance to date</w:t>
      </w:r>
    </w:p>
    <w:bookmarkEnd w:id="22"/>
    <w:bookmarkStart w:id="25" w:name="financial-summary"/>
    <w:p>
      <w:pPr>
        <w:pStyle w:val="Heading2"/>
      </w:pPr>
      <w:r>
        <w:t xml:space="preserve">Financial Summary</w:t>
      </w:r>
    </w:p>
    <w:bookmarkStart w:id="23" w:name="income-statement-in-millions-usd"/>
    <w:p>
      <w:pPr>
        <w:pStyle w:val="Heading3"/>
      </w:pPr>
      <w:r>
        <w:t xml:space="preserve">Income Statement (in millions USD)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Item</w:t>
            </w:r>
          </w:p>
        </w:tc>
        <w:tc>
          <w:tcPr/>
          <w:p>
            <w:pPr>
              <w:pStyle w:val="Compact"/>
            </w:pPr>
            <w:r>
              <w:t xml:space="preserve">2023</w:t>
            </w:r>
          </w:p>
        </w:tc>
        <w:tc>
          <w:tcPr/>
          <w:p>
            <w:pPr>
              <w:pStyle w:val="Compact"/>
            </w:pPr>
            <w:r>
              <w:t xml:space="preserve">2022</w:t>
            </w:r>
          </w:p>
        </w:tc>
        <w:tc>
          <w:tcPr/>
          <w:p>
            <w:pPr>
              <w:pStyle w:val="Compact"/>
            </w:pPr>
            <w:r>
              <w:t xml:space="preserve">% Change</w:t>
            </w:r>
          </w:p>
        </w:tc>
      </w:tr>
      <w:tr>
        <w:tc>
          <w:tcPr/>
          <w:p>
            <w:pPr>
              <w:pStyle w:val="Compact"/>
            </w:pPr>
            <w:r>
              <w:t xml:space="preserve">Revenue</w:t>
            </w:r>
          </w:p>
        </w:tc>
        <w:tc>
          <w:tcPr/>
          <w:p>
            <w:pPr>
              <w:pStyle w:val="Compact"/>
            </w:pPr>
            <w:r>
              <w:t xml:space="preserve">11,500</w:t>
            </w:r>
          </w:p>
        </w:tc>
        <w:tc>
          <w:tcPr/>
          <w:p>
            <w:pPr>
              <w:pStyle w:val="Compact"/>
            </w:pPr>
            <w:r>
              <w:t xml:space="preserve">10,000</w:t>
            </w:r>
          </w:p>
        </w:tc>
        <w:tc>
          <w:tcPr/>
          <w:p>
            <w:pPr>
              <w:pStyle w:val="Compact"/>
            </w:pPr>
            <w:r>
              <w:t xml:space="preserve">+15.0%</w:t>
            </w:r>
          </w:p>
        </w:tc>
      </w:tr>
      <w:tr>
        <w:tc>
          <w:tcPr/>
          <w:p>
            <w:pPr>
              <w:pStyle w:val="Compact"/>
            </w:pPr>
            <w:r>
              <w:t xml:space="preserve">Operating Expenses</w:t>
            </w:r>
          </w:p>
        </w:tc>
        <w:tc>
          <w:tcPr/>
          <w:p>
            <w:pPr>
              <w:pStyle w:val="Compact"/>
            </w:pPr>
            <w:r>
              <w:t xml:space="preserve">9,000</w:t>
            </w:r>
          </w:p>
        </w:tc>
        <w:tc>
          <w:tcPr/>
          <w:p>
            <w:pPr>
              <w:pStyle w:val="Compact"/>
            </w:pPr>
            <w:r>
              <w:t xml:space="preserve">8,000</w:t>
            </w:r>
          </w:p>
        </w:tc>
        <w:tc>
          <w:tcPr/>
          <w:p>
            <w:pPr>
              <w:pStyle w:val="Compact"/>
            </w:pPr>
            <w:r>
              <w:t xml:space="preserve">+12.5%</w:t>
            </w:r>
          </w:p>
        </w:tc>
      </w:tr>
      <w:tr>
        <w:tc>
          <w:tcPr/>
          <w:p>
            <w:pPr>
              <w:pStyle w:val="Compact"/>
            </w:pPr>
            <w:r>
              <w:t xml:space="preserve">Operating Income</w:t>
            </w:r>
          </w:p>
        </w:tc>
        <w:tc>
          <w:tcPr/>
          <w:p>
            <w:pPr>
              <w:pStyle w:val="Compact"/>
            </w:pPr>
            <w:r>
              <w:t xml:space="preserve">2,500</w:t>
            </w:r>
          </w:p>
        </w:tc>
        <w:tc>
          <w:tcPr/>
          <w:p>
            <w:pPr>
              <w:pStyle w:val="Compact"/>
            </w:pPr>
            <w:r>
              <w:t xml:space="preserve">2,000</w:t>
            </w:r>
          </w:p>
        </w:tc>
        <w:tc>
          <w:tcPr/>
          <w:p>
            <w:pPr>
              <w:pStyle w:val="Compact"/>
            </w:pPr>
            <w:r>
              <w:t xml:space="preserve">+25.0%</w:t>
            </w:r>
          </w:p>
        </w:tc>
      </w:tr>
      <w:tr>
        <w:tc>
          <w:tcPr/>
          <w:p>
            <w:pPr>
              <w:pStyle w:val="Compact"/>
            </w:pPr>
            <w:r>
              <w:t xml:space="preserve">Net Income</w:t>
            </w:r>
          </w:p>
        </w:tc>
        <w:tc>
          <w:tcPr/>
          <w:p>
            <w:pPr>
              <w:pStyle w:val="Compact"/>
            </w:pPr>
            <w:r>
              <w:t xml:space="preserve">1,600</w:t>
            </w:r>
          </w:p>
        </w:tc>
        <w:tc>
          <w:tcPr/>
          <w:p>
            <w:pPr>
              <w:pStyle w:val="Compact"/>
            </w:pPr>
            <w:r>
              <w:t xml:space="preserve">1,280</w:t>
            </w:r>
          </w:p>
        </w:tc>
        <w:tc>
          <w:tcPr/>
          <w:p>
            <w:pPr>
              <w:pStyle w:val="Compact"/>
            </w:pPr>
            <w:r>
              <w:t xml:space="preserve">+25.0%</w:t>
            </w:r>
          </w:p>
        </w:tc>
      </w:tr>
    </w:tbl>
    <w:bookmarkEnd w:id="23"/>
    <w:bookmarkStart w:id="24" w:name="balance-sheet-summary-in-millions-usd"/>
    <w:p>
      <w:pPr>
        <w:pStyle w:val="Heading3"/>
      </w:pPr>
      <w:r>
        <w:t xml:space="preserve">Balance Sheet Summary (in millions USD)</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Item</w:t>
            </w:r>
          </w:p>
        </w:tc>
        <w:tc>
          <w:tcPr/>
          <w:p>
            <w:pPr>
              <w:pStyle w:val="Compact"/>
            </w:pPr>
            <w:r>
              <w:t xml:space="preserve">Dec 31, 2023</w:t>
            </w:r>
          </w:p>
        </w:tc>
        <w:tc>
          <w:tcPr/>
          <w:p>
            <w:pPr>
              <w:pStyle w:val="Compact"/>
            </w:pPr>
            <w:r>
              <w:t xml:space="preserve">Dec 31, 2022</w:t>
            </w:r>
          </w:p>
        </w:tc>
      </w:tr>
      <w:tr>
        <w:tc>
          <w:tcPr/>
          <w:p>
            <w:pPr>
              <w:pStyle w:val="Compact"/>
            </w:pPr>
            <w:r>
              <w:t xml:space="preserve">Total Assets</w:t>
            </w:r>
          </w:p>
        </w:tc>
        <w:tc>
          <w:tcPr/>
          <w:p>
            <w:pPr>
              <w:pStyle w:val="Compact"/>
            </w:pPr>
            <w:r>
              <w:t xml:space="preserve">23,500</w:t>
            </w:r>
          </w:p>
        </w:tc>
        <w:tc>
          <w:tcPr/>
          <w:p>
            <w:pPr>
              <w:pStyle w:val="Compact"/>
            </w:pPr>
            <w:r>
              <w:t xml:space="preserve">21,000</w:t>
            </w:r>
          </w:p>
        </w:tc>
      </w:tr>
      <w:tr>
        <w:tc>
          <w:tcPr/>
          <w:p>
            <w:pPr>
              <w:pStyle w:val="Compact"/>
            </w:pPr>
            <w:r>
              <w:t xml:space="preserve">Total Liabilities</w:t>
            </w:r>
          </w:p>
        </w:tc>
        <w:tc>
          <w:tcPr/>
          <w:p>
            <w:pPr>
              <w:pStyle w:val="Compact"/>
            </w:pPr>
            <w:r>
              <w:t xml:space="preserve">14,500</w:t>
            </w:r>
          </w:p>
        </w:tc>
        <w:tc>
          <w:tcPr/>
          <w:p>
            <w:pPr>
              <w:pStyle w:val="Compact"/>
            </w:pPr>
            <w:r>
              <w:t xml:space="preserve">13,000</w:t>
            </w:r>
          </w:p>
        </w:tc>
      </w:tr>
      <w:tr>
        <w:tc>
          <w:tcPr/>
          <w:p>
            <w:pPr>
              <w:pStyle w:val="Compact"/>
            </w:pPr>
            <w:r>
              <w:t xml:space="preserve">Shareholders’ Equity</w:t>
            </w:r>
          </w:p>
        </w:tc>
        <w:tc>
          <w:tcPr/>
          <w:p>
            <w:pPr>
              <w:pStyle w:val="Compact"/>
            </w:pPr>
            <w:r>
              <w:t xml:space="preserve">9,000</w:t>
            </w:r>
          </w:p>
        </w:tc>
        <w:tc>
          <w:tcPr/>
          <w:p>
            <w:pPr>
              <w:pStyle w:val="Compact"/>
            </w:pPr>
            <w:r>
              <w:t xml:space="preserve">8,000</w:t>
            </w:r>
          </w:p>
        </w:tc>
      </w:tr>
    </w:tbl>
    <w:bookmarkEnd w:id="24"/>
    <w:bookmarkEnd w:id="25"/>
    <w:bookmarkStart w:id="26" w:name="strategic-focus-areas"/>
    <w:p>
      <w:pPr>
        <w:pStyle w:val="Heading2"/>
      </w:pPr>
      <w:r>
        <w:t xml:space="preserve">Strategic Focus Areas</w:t>
      </w:r>
    </w:p>
    <w:p>
      <w:pPr>
        <w:pStyle w:val="Compact"/>
        <w:numPr>
          <w:ilvl w:val="0"/>
          <w:numId w:val="1003"/>
        </w:numPr>
      </w:pPr>
      <w:r>
        <w:rPr>
          <w:b/>
          <w:bCs/>
        </w:rPr>
        <w:t xml:space="preserve">Operational Excellence</w:t>
      </w:r>
      <w:r>
        <w:t xml:space="preserve">: Continuously improving efficiency and safety across all operations.</w:t>
      </w:r>
    </w:p>
    <w:p>
      <w:pPr>
        <w:pStyle w:val="Compact"/>
        <w:numPr>
          <w:ilvl w:val="0"/>
          <w:numId w:val="1003"/>
        </w:numPr>
      </w:pPr>
      <w:r>
        <w:rPr>
          <w:b/>
          <w:bCs/>
        </w:rPr>
        <w:t xml:space="preserve">Sustainable Growth</w:t>
      </w:r>
      <w:r>
        <w:t xml:space="preserve">: Balancing traditional energy production with significant investments in renewable sources.</w:t>
      </w:r>
    </w:p>
    <w:p>
      <w:pPr>
        <w:pStyle w:val="Compact"/>
        <w:numPr>
          <w:ilvl w:val="0"/>
          <w:numId w:val="1003"/>
        </w:numPr>
      </w:pPr>
      <w:r>
        <w:rPr>
          <w:b/>
          <w:bCs/>
        </w:rPr>
        <w:t xml:space="preserve">Technology and Innovation</w:t>
      </w:r>
      <w:r>
        <w:t xml:space="preserve">: Leveraging cutting-edge technologies to enhance exploration, production, and refining processes.</w:t>
      </w:r>
    </w:p>
    <w:p>
      <w:pPr>
        <w:pStyle w:val="Compact"/>
        <w:numPr>
          <w:ilvl w:val="0"/>
          <w:numId w:val="1003"/>
        </w:numPr>
      </w:pPr>
      <w:r>
        <w:rPr>
          <w:b/>
          <w:bCs/>
        </w:rPr>
        <w:t xml:space="preserve">Environmental Stewardship</w:t>
      </w:r>
      <w:r>
        <w:t xml:space="preserve">: Reducing our environmental footprint and supporting global efforts to combat climate change.</w:t>
      </w:r>
    </w:p>
    <w:p>
      <w:pPr>
        <w:pStyle w:val="Compact"/>
        <w:numPr>
          <w:ilvl w:val="0"/>
          <w:numId w:val="1003"/>
        </w:numPr>
      </w:pPr>
      <w:r>
        <w:rPr>
          <w:b/>
          <w:bCs/>
        </w:rPr>
        <w:t xml:space="preserve">Community Engagement</w:t>
      </w:r>
      <w:r>
        <w:t xml:space="preserve">: Fostering positive relationships with the communities where we operate.</w:t>
      </w:r>
    </w:p>
    <w:bookmarkEnd w:id="26"/>
    <w:bookmarkStart w:id="27" w:name="outlook-for-2023"/>
    <w:p>
      <w:pPr>
        <w:pStyle w:val="Heading2"/>
      </w:pPr>
      <w:r>
        <w:t xml:space="preserve">Outlook for 2023</w:t>
      </w:r>
    </w:p>
    <w:p>
      <w:pPr>
        <w:pStyle w:val="FirstParagraph"/>
      </w:pPr>
      <w:r>
        <w:t xml:space="preserve">As we look ahead to 2023, we are optimistic about our prospects. We expect:</w:t>
      </w:r>
      <w:r>
        <w:t xml:space="preserve"> </w:t>
      </w:r>
      <w:r>
        <w:t xml:space="preserve">- Continued production growth from our new offshore platforms</w:t>
      </w:r>
      <w:r>
        <w:t xml:space="preserve"> </w:t>
      </w:r>
      <w:r>
        <w:t xml:space="preserve">- Increased contribution from our expanding renewable energy portfolio</w:t>
      </w:r>
      <w:r>
        <w:t xml:space="preserve"> </w:t>
      </w:r>
      <w:r>
        <w:t xml:space="preserve">- Further improvements in operational efficiency and cost management</w:t>
      </w:r>
      <w:r>
        <w:t xml:space="preserve"> </w:t>
      </w:r>
      <w:r>
        <w:t xml:space="preserve">- Progress towards our long-term sustainability goals</w:t>
      </w:r>
    </w:p>
    <w:bookmarkEnd w:id="27"/>
    <w:bookmarkStart w:id="28" w:name="corporate-governance"/>
    <w:p>
      <w:pPr>
        <w:pStyle w:val="Heading2"/>
      </w:pPr>
      <w:r>
        <w:t xml:space="preserve">Corporate Governance</w:t>
      </w:r>
    </w:p>
    <w:p>
      <w:pPr>
        <w:pStyle w:val="FirstParagraph"/>
      </w:pPr>
      <w:r>
        <w:t xml:space="preserve">Our Board of Directors remains committed to the highest standards of corporate governance. In 2023, we:</w:t>
      </w:r>
      <w:r>
        <w:t xml:space="preserve"> </w:t>
      </w:r>
      <w:r>
        <w:t xml:space="preserve">- Enhanced our ESG reporting and transparency</w:t>
      </w:r>
      <w:r>
        <w:t xml:space="preserve"> </w:t>
      </w:r>
      <w:r>
        <w:t xml:space="preserve">- Strengthened our diversity and inclusion initiatives</w:t>
      </w:r>
      <w:r>
        <w:t xml:space="preserve"> </w:t>
      </w:r>
      <w:r>
        <w:t xml:space="preserve">- Implemented new cybersecurity measures to protect our assets and data</w:t>
      </w:r>
    </w:p>
    <w:bookmarkEnd w:id="28"/>
    <w:bookmarkStart w:id="29" w:name="investor-information"/>
    <w:p>
      <w:pPr>
        <w:pStyle w:val="Heading2"/>
      </w:pPr>
      <w:r>
        <w:t xml:space="preserve">Investor Information</w:t>
      </w:r>
    </w:p>
    <w:p>
      <w:pPr>
        <w:pStyle w:val="FirstParagraph"/>
      </w:pPr>
      <w:r>
        <w:t xml:space="preserve">Annual Shareholder Meeting: May 15, 2023</w:t>
      </w:r>
      <w:r>
        <w:t xml:space="preserve"> </w:t>
      </w:r>
      <w:r>
        <w:t xml:space="preserve">Investor Relations Contact:</w:t>
      </w:r>
      <w:r>
        <w:t xml:space="preserve"> </w:t>
      </w:r>
      <w:r>
        <w:t xml:space="preserve">Sarah Johnson</w:t>
      </w:r>
      <w:r>
        <w:t xml:space="preserve"> </w:t>
      </w:r>
      <w:r>
        <w:t xml:space="preserve">Email: sarah.johnson@frontieroil.com</w:t>
      </w:r>
      <w:r>
        <w:t xml:space="preserve"> </w:t>
      </w:r>
      <w:r>
        <w:t xml:space="preserve">Phone: (555) 123-4567</w:t>
      </w:r>
    </w:p>
    <w:p>
      <w:r>
        <w:pict>
          <v:rect style="width:0;height:1.5pt" o:hralign="center" o:hrstd="t" o:hr="t"/>
        </w:pict>
      </w:r>
    </w:p>
    <w:p>
      <w:pPr>
        <w:pStyle w:val="FirstParagraph"/>
      </w:pPr>
      <w:r>
        <w:t xml:space="preserve">This report contains forward-looking statements that involve risks and uncertainties. Actual results may differ materially from those stated in any forward-looking statement based on a number of important factors and risks.</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2024-10-24T12:55:54Z</dcterms:created>
  <dcterms:modified xsi:type="dcterms:W3CDTF">2024-10-24T12:55:54Z</dcterms:modified>
</cp:coreProperties>
</file>

<file path=docProps/custom.xml><?xml version="1.0" encoding="utf-8"?>
<Properties xmlns="http://schemas.openxmlformats.org/officeDocument/2006/custom-properties" xmlns:vt="http://schemas.openxmlformats.org/officeDocument/2006/docPropsVTypes"/>
</file>